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-307975</wp:posOffset>
            </wp:positionH>
            <wp:positionV relativeFrom="paragraph">
              <wp:posOffset>238125</wp:posOffset>
            </wp:positionV>
            <wp:extent cx="6002020" cy="80873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019" t="3162" r="4787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808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0" w:name="6028649a-e0ac-451e-8172-b3f83139ddea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  <w:bookmarkStart w:id="1" w:name="block-202448981"/>
      <w:bookmarkStart w:id="2" w:name="block-20244898"/>
      <w:bookmarkEnd w:id="1"/>
      <w:bookmarkEnd w:id="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3" w:name="_Toc143620888"/>
      <w:bookmarkStart w:id="4" w:name="_Toc143620888"/>
      <w:bookmarkEnd w:id="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5" w:name="_Toc143620889"/>
      <w:bookmarkStart w:id="6" w:name="_Toc143620889"/>
      <w:bookmarkEnd w:id="6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7" w:name="_Toc134720971"/>
      <w:bookmarkStart w:id="8" w:name="_Toc143620890"/>
      <w:bookmarkStart w:id="9" w:name="_Toc134720971"/>
      <w:bookmarkStart w:id="10" w:name="_Toc143620890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"/>
        <w:spacing w:lineRule="exact" w:line="276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bookmarkStart w:id="11" w:name="block-202449001"/>
      <w:bookmarkStart w:id="12" w:name="block-20244900"/>
      <w:bookmarkEnd w:id="11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86"/>
        <w:gridCol w:w="2480"/>
        <w:gridCol w:w="1441"/>
        <w:gridCol w:w="2479"/>
        <w:gridCol w:w="2602"/>
        <w:gridCol w:w="3905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879"/>
        <w:gridCol w:w="1380"/>
        <w:gridCol w:w="2410"/>
        <w:gridCol w:w="2537"/>
        <w:gridCol w:w="3735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20244896"/>
      <w:bookmarkStart w:id="14" w:name="block-20244896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тестза курс 1класса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2класса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3 класса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4"/>
        <w:gridCol w:w="2722"/>
        <w:gridCol w:w="1214"/>
        <w:gridCol w:w="2217"/>
        <w:gridCol w:w="2356"/>
        <w:gridCol w:w="1673"/>
        <w:gridCol w:w="2857"/>
      </w:tblGrid>
      <w:tr>
        <w:trPr>
          <w:trHeight w:val="144" w:hRule="atLeast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П/А Контрольный тест за курс 4 класса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  <w:bookmarkStart w:id="15" w:name="block-202449021"/>
      <w:bookmarkStart w:id="16" w:name="block-20244902"/>
      <w:bookmarkStart w:id="17" w:name="block-202449021"/>
      <w:bookmarkStart w:id="18" w:name="block-20244902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LibreOffice/7.0.6.2$Linux_X86_64 LibreOffice_project/00$Build-2</Application>
  <AppVersion>15.0000</AppVersion>
  <Pages>59</Pages>
  <Words>7697</Words>
  <Characters>57010</Characters>
  <CharactersWithSpaces>63952</CharactersWithSpaces>
  <Paragraphs>1025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2024-09-11T00:00:13Z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